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 w14:paraId="5012A882" w14:textId="77777777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8ACD8AC" w14:textId="77777777" w:rsidR="00B254FD" w:rsidRDefault="00A72BF4" w:rsidP="003E4217">
            <w:pPr>
              <w:pStyle w:val="11ptbold"/>
            </w:pPr>
            <w:r>
              <w:t>Comunicato stampa</w:t>
            </w:r>
          </w:p>
          <w:p w14:paraId="3A00F3AF" w14:textId="77777777"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14:paraId="51915910" w14:textId="77777777" w:rsidR="00A72BF4" w:rsidRPr="00B254FD" w:rsidRDefault="00B254FD" w:rsidP="003E4217">
            <w:r>
              <w:rPr>
                <w:b/>
                <w:sz w:val="20"/>
                <w:szCs w:val="20"/>
              </w:rPr>
              <w:t>Unterzeile</w:t>
            </w:r>
          </w:p>
        </w:tc>
      </w:tr>
      <w:tr w:rsidR="00A72BF4" w:rsidRPr="00B27FCD" w14:paraId="62A44D99" w14:textId="77777777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6D75A11" w14:textId="77777777" w:rsidR="00B262FE" w:rsidRPr="00AD32F7" w:rsidRDefault="00605091" w:rsidP="003448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EtichettaEnergia per veicoli leggeri</w:t>
            </w:r>
          </w:p>
          <w:p w14:paraId="3EA72C05" w14:textId="77777777" w:rsidR="00B254FD" w:rsidRDefault="00B254FD" w:rsidP="006050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2E50A0BF" w14:textId="79C502BE" w:rsidR="00377004" w:rsidRPr="00AD32F7" w:rsidRDefault="00377004" w:rsidP="00605091">
            <w:pPr>
              <w:spacing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="0034481C">
              <w:rPr>
                <w:b/>
                <w:sz w:val="32"/>
                <w:szCs w:val="32"/>
              </w:rPr>
              <w:t>’</w:t>
            </w:r>
            <w:r>
              <w:rPr>
                <w:b/>
                <w:sz w:val="32"/>
                <w:szCs w:val="32"/>
              </w:rPr>
              <w:t>etichettaEnergia rivela quanto l</w:t>
            </w:r>
            <w:r w:rsidR="0034481C">
              <w:rPr>
                <w:b/>
                <w:sz w:val="32"/>
                <w:szCs w:val="32"/>
              </w:rPr>
              <w:t>’</w:t>
            </w:r>
            <w:r>
              <w:rPr>
                <w:b/>
                <w:sz w:val="32"/>
                <w:szCs w:val="32"/>
              </w:rPr>
              <w:t>auto è efficiente dal punto di vista energetico</w:t>
            </w:r>
          </w:p>
          <w:p w14:paraId="66338C90" w14:textId="77777777"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 w14:paraId="22F67D8F" w14:textId="77777777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14:paraId="272C8FB1" w14:textId="77777777" w:rsidTr="005A7B99">
              <w:trPr>
                <w:trHeight w:val="340"/>
              </w:trPr>
              <w:tc>
                <w:tcPr>
                  <w:tcW w:w="8505" w:type="dxa"/>
                </w:tcPr>
                <w:p w14:paraId="5441C5E4" w14:textId="217560BD" w:rsidR="00050F00" w:rsidRPr="00DC206C" w:rsidRDefault="00605091" w:rsidP="00605091">
                  <w:pPr>
                    <w:spacing w:line="240" w:lineRule="auto"/>
                    <w:rPr>
                      <w:b/>
                      <w:i/>
                      <w:sz w:val="19"/>
                      <w:szCs w:val="19"/>
                    </w:rPr>
                  </w:pPr>
                  <w:r>
                    <w:rPr>
                      <w:b/>
                      <w:i/>
                      <w:sz w:val="19"/>
                      <w:szCs w:val="19"/>
                    </w:rPr>
                    <w:t xml:space="preserve">Berna, </w:t>
                  </w:r>
                  <w:r w:rsidR="007069E3">
                    <w:rPr>
                      <w:b/>
                      <w:i/>
                      <w:sz w:val="19"/>
                      <w:szCs w:val="19"/>
                    </w:rPr>
                    <w:t>08.02</w:t>
                  </w:r>
                  <w:r>
                    <w:rPr>
                      <w:b/>
                      <w:i/>
                      <w:sz w:val="19"/>
                      <w:szCs w:val="19"/>
                    </w:rPr>
                    <w:t xml:space="preserve">.2021 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– La questione dell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efficienza energetica rientra oggi tra i principali criteri decisionali per 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acquisto di un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auto. 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 xml:space="preserve">etichettaEnergia garantisce trasparenza e 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 xml:space="preserve">facilita in questo modo 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la scelta. I garagisti dell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Unione professionale svizzera dell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automobile (UPSA) spiegano 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importanza e lo scopo dell</w:t>
                  </w:r>
                  <w:r w:rsidR="0034481C">
                    <w:rPr>
                      <w:b/>
                      <w:iCs/>
                      <w:sz w:val="19"/>
                      <w:szCs w:val="19"/>
                    </w:rPr>
                    <w:t>’</w:t>
                  </w:r>
                  <w:r>
                    <w:rPr>
                      <w:b/>
                      <w:iCs/>
                      <w:sz w:val="19"/>
                      <w:szCs w:val="19"/>
                    </w:rPr>
                    <w:t>etichettaEnergia, le cui categorie vengono riclassificate anno dopo anno.</w:t>
                  </w:r>
                </w:p>
                <w:p w14:paraId="7A519776" w14:textId="77777777" w:rsidR="00041E78" w:rsidRPr="00B254FD" w:rsidRDefault="00041E78" w:rsidP="00605091">
                  <w:pPr>
                    <w:spacing w:line="240" w:lineRule="auto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041E78" w:rsidRPr="00E502BF" w14:paraId="09EA9BFD" w14:textId="77777777" w:rsidTr="005A7B99">
              <w:trPr>
                <w:trHeight w:val="709"/>
              </w:trPr>
              <w:tc>
                <w:tcPr>
                  <w:tcW w:w="8505" w:type="dxa"/>
                </w:tcPr>
                <w:p w14:paraId="73913CA9" w14:textId="11D83892" w:rsidR="00050F00" w:rsidRDefault="00605091" w:rsidP="00605091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etichettaEnergia, obbligatoria per tutti i veicoli leggeri nuovi, supporta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abbattimento del consumo medio di carburante. Chi vende auto d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occasione può applicarla volontariamente.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 fornisce informazioni sul consumo di carburante o di energia in litri o in chilowattora (kWh) p</w:t>
                  </w:r>
                  <w:bookmarkStart w:id="0" w:name="_GoBack"/>
                  <w:bookmarkEnd w:id="0"/>
                  <w:r>
                    <w:rPr>
                      <w:sz w:val="19"/>
                      <w:szCs w:val="19"/>
                    </w:rPr>
                    <w:t>er 100 km, sulle emissioni di CO</w:t>
                  </w:r>
                  <w:r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 in g/km e sull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efficienza energetica. «Agli acquirenti interessati viene offerto un quadro uni</w:t>
                  </w:r>
                  <w:r w:rsidR="0034481C">
                    <w:rPr>
                      <w:sz w:val="19"/>
                      <w:szCs w:val="19"/>
                    </w:rPr>
                    <w:t>tario</w:t>
                  </w:r>
                  <w:r>
                    <w:rPr>
                      <w:sz w:val="19"/>
                      <w:szCs w:val="19"/>
                    </w:rPr>
                    <w:t xml:space="preserve"> valido per tutte le marche. Così possono farsi una prima idea sul consumo di energia e sulle emissioni di CO</w:t>
                  </w:r>
                  <w:r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>», afferma Markus Peter, responsabile del settore Tecnica &amp; Ambiente presso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UPSA. </w:t>
                  </w:r>
                </w:p>
                <w:p w14:paraId="25D1048D" w14:textId="77777777" w:rsidR="00C049BD" w:rsidRDefault="00C049BD" w:rsidP="00605091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5EA85117" w14:textId="2B6BB9AC" w:rsidR="00C049BD" w:rsidRDefault="00C049BD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etichetta suddivide i veicoli in sette categorie di efficienza, dalla A alla G: la categoria A corrisponde alle automobili più efficienti, la G a quelle </w:t>
                  </w:r>
                  <w:r w:rsidR="0034481C">
                    <w:rPr>
                      <w:sz w:val="19"/>
                      <w:szCs w:val="19"/>
                    </w:rPr>
                    <w:t xml:space="preserve">relativamente </w:t>
                  </w:r>
                  <w:r>
                    <w:rPr>
                      <w:sz w:val="19"/>
                      <w:szCs w:val="19"/>
                    </w:rPr>
                    <w:t xml:space="preserve">meno efficienti. Il vantaggio della scala è </w:t>
                  </w:r>
                  <w:r w:rsidR="0034481C">
                    <w:rPr>
                      <w:sz w:val="19"/>
                      <w:szCs w:val="19"/>
                    </w:rPr>
                    <w:t xml:space="preserve">il fatto di essere </w:t>
                  </w:r>
                  <w:r w:rsidR="00C26A00">
                    <w:rPr>
                      <w:sz w:val="19"/>
                      <w:szCs w:val="19"/>
                    </w:rPr>
                    <w:t>ben</w:t>
                  </w:r>
                  <w:r w:rsidR="0034481C">
                    <w:rPr>
                      <w:sz w:val="19"/>
                      <w:szCs w:val="19"/>
                    </w:rPr>
                    <w:t xml:space="preserve"> nota ai</w:t>
                  </w:r>
                  <w:r>
                    <w:rPr>
                      <w:sz w:val="19"/>
                      <w:szCs w:val="19"/>
                    </w:rPr>
                    <w:t xml:space="preserve"> consumatori, visto che simili informazioni sono presenti anche sui frigoriferi o sulle TV.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etichettaEnergia per veicoli leggeri si differenzia</w:t>
                  </w:r>
                  <w:r w:rsidR="0034481C">
                    <w:rPr>
                      <w:sz w:val="19"/>
                      <w:szCs w:val="19"/>
                    </w:rPr>
                    <w:t xml:space="preserve"> tuttavia</w:t>
                  </w:r>
                  <w:r>
                    <w:rPr>
                      <w:sz w:val="19"/>
                      <w:szCs w:val="19"/>
                    </w:rPr>
                    <w:t xml:space="preserve"> dalle altre etichette </w:t>
                  </w:r>
                  <w:r w:rsidR="0034481C">
                    <w:rPr>
                      <w:sz w:val="19"/>
                      <w:szCs w:val="19"/>
                    </w:rPr>
                    <w:t>perché</w:t>
                  </w:r>
                  <w:r>
                    <w:rPr>
                      <w:sz w:val="19"/>
                      <w:szCs w:val="19"/>
                    </w:rPr>
                    <w:t xml:space="preserve"> le categorie vengono controllate e riclassificate ogni danno dal Dipartimento federale dell</w:t>
                  </w:r>
                  <w:r w:rsidR="0034481C">
                    <w:rPr>
                      <w:sz w:val="19"/>
                      <w:szCs w:val="19"/>
                    </w:rPr>
                    <w:t>’a</w:t>
                  </w:r>
                  <w:r>
                    <w:rPr>
                      <w:sz w:val="19"/>
                      <w:szCs w:val="19"/>
                    </w:rPr>
                    <w:t xml:space="preserve">mbiente, dei </w:t>
                  </w:r>
                  <w:r w:rsidR="0034481C">
                    <w:rPr>
                      <w:sz w:val="19"/>
                      <w:szCs w:val="19"/>
                    </w:rPr>
                    <w:t>trasporti</w:t>
                  </w:r>
                  <w:r>
                    <w:rPr>
                      <w:sz w:val="19"/>
                      <w:szCs w:val="19"/>
                    </w:rPr>
                    <w:t>, dell</w:t>
                  </w:r>
                  <w:r w:rsidR="0034481C">
                    <w:rPr>
                      <w:sz w:val="19"/>
                      <w:szCs w:val="19"/>
                    </w:rPr>
                    <w:t>’e</w:t>
                  </w:r>
                  <w:r>
                    <w:rPr>
                      <w:sz w:val="19"/>
                      <w:szCs w:val="19"/>
                    </w:rPr>
                    <w:t xml:space="preserve">nergia e delle </w:t>
                  </w:r>
                  <w:r w:rsidR="0034481C">
                    <w:rPr>
                      <w:sz w:val="19"/>
                      <w:szCs w:val="19"/>
                    </w:rPr>
                    <w:t xml:space="preserve">comunicazioni </w:t>
                  </w:r>
                  <w:r>
                    <w:rPr>
                      <w:sz w:val="19"/>
                      <w:szCs w:val="19"/>
                    </w:rPr>
                    <w:t xml:space="preserve">(DATEC). </w:t>
                  </w:r>
                </w:p>
                <w:p w14:paraId="7A3BBE36" w14:textId="77777777" w:rsidR="00C049BD" w:rsidRDefault="00C049BD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60FD1C2B" w14:textId="6E001E96" w:rsidR="00C049BD" w:rsidRDefault="0034481C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Attraverso questi adeguamenti,</w:t>
                  </w:r>
                  <w:r w:rsidR="00C049BD">
                    <w:rPr>
                      <w:sz w:val="19"/>
                      <w:szCs w:val="19"/>
                    </w:rPr>
                    <w:t xml:space="preserve"> il DATEC </w:t>
                  </w:r>
                  <w:r>
                    <w:rPr>
                      <w:sz w:val="19"/>
                      <w:szCs w:val="19"/>
                    </w:rPr>
                    <w:t xml:space="preserve">fa in modo </w:t>
                  </w:r>
                  <w:r w:rsidR="00C049BD">
                    <w:rPr>
                      <w:sz w:val="19"/>
                      <w:szCs w:val="19"/>
                    </w:rPr>
                    <w:t>che soltanto un settimo di tutti i nuovi modelli di automobili sia attribuito alla migliore categoria di efficienza A. «Un</w:t>
                  </w:r>
                  <w:r>
                    <w:rPr>
                      <w:sz w:val="19"/>
                      <w:szCs w:val="19"/>
                    </w:rPr>
                    <w:t>’</w:t>
                  </w:r>
                  <w:r w:rsidR="00C049BD">
                    <w:rPr>
                      <w:sz w:val="19"/>
                      <w:szCs w:val="19"/>
                    </w:rPr>
                    <w:t xml:space="preserve">auto che cinque anni fa rientrava ancora nella categoria A, oggi può essere </w:t>
                  </w:r>
                  <w:r>
                    <w:rPr>
                      <w:sz w:val="19"/>
                      <w:szCs w:val="19"/>
                    </w:rPr>
                    <w:t xml:space="preserve">classificata </w:t>
                  </w:r>
                  <w:r w:rsidR="00C049BD">
                    <w:rPr>
                      <w:sz w:val="19"/>
                      <w:szCs w:val="19"/>
                    </w:rPr>
                    <w:t xml:space="preserve">una o due categorie più in basso», spiega Markus Peter. Ciò consente di tenere conto degli sviluppi intervenuti </w:t>
                  </w:r>
                  <w:r>
                    <w:rPr>
                      <w:sz w:val="19"/>
                      <w:szCs w:val="19"/>
                    </w:rPr>
                    <w:t xml:space="preserve">tanto </w:t>
                  </w:r>
                  <w:r w:rsidR="00C049BD">
                    <w:rPr>
                      <w:sz w:val="19"/>
                      <w:szCs w:val="19"/>
                    </w:rPr>
                    <w:t xml:space="preserve">nella tecnica automobilistica </w:t>
                  </w:r>
                  <w:r>
                    <w:rPr>
                      <w:sz w:val="19"/>
                      <w:szCs w:val="19"/>
                    </w:rPr>
                    <w:t xml:space="preserve">quanto </w:t>
                  </w:r>
                  <w:r w:rsidR="00C049BD">
                    <w:rPr>
                      <w:sz w:val="19"/>
                      <w:szCs w:val="19"/>
                    </w:rPr>
                    <w:t xml:space="preserve">nella messa a disposizione dei carburanti. I fattori di valutazione vengono adeguati alle nuove conoscenze maturate nel campo scientifico e tecnologico, nonché alle ultime condizioni quadro del settore energetico. «Attualmente </w:t>
                  </w:r>
                  <w:r>
                    <w:rPr>
                      <w:sz w:val="19"/>
                      <w:szCs w:val="19"/>
                    </w:rPr>
                    <w:t xml:space="preserve">è in particolare </w:t>
                  </w:r>
                  <w:r w:rsidR="00C049BD">
                    <w:rPr>
                      <w:sz w:val="19"/>
                      <w:szCs w:val="19"/>
                    </w:rPr>
                    <w:t>il mercato dell</w:t>
                  </w:r>
                  <w:r>
                    <w:rPr>
                      <w:sz w:val="19"/>
                      <w:szCs w:val="19"/>
                    </w:rPr>
                    <w:t>’</w:t>
                  </w:r>
                  <w:r w:rsidR="00C049BD">
                    <w:rPr>
                      <w:sz w:val="19"/>
                      <w:szCs w:val="19"/>
                    </w:rPr>
                    <w:t xml:space="preserve">idrogeno </w:t>
                  </w:r>
                  <w:r>
                    <w:rPr>
                      <w:sz w:val="19"/>
                      <w:szCs w:val="19"/>
                    </w:rPr>
                    <w:t>a vivere</w:t>
                  </w:r>
                  <w:r w:rsidR="00C049BD">
                    <w:rPr>
                      <w:sz w:val="19"/>
                      <w:szCs w:val="19"/>
                    </w:rPr>
                    <w:t xml:space="preserve"> una fase di forte sviluppo.»</w:t>
                  </w:r>
                </w:p>
                <w:p w14:paraId="692E95E1" w14:textId="77777777" w:rsidR="00C049BD" w:rsidRDefault="00C049BD" w:rsidP="00605091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3B38C709" w14:textId="259121F7" w:rsidR="00C049BD" w:rsidRPr="00153693" w:rsidRDefault="00C049BD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Le nuove categorie sono valide dal 1</w:t>
                  </w:r>
                  <w:r w:rsidR="0034481C">
                    <w:rPr>
                      <w:sz w:val="19"/>
                      <w:szCs w:val="19"/>
                    </w:rPr>
                    <w:t xml:space="preserve">º </w:t>
                  </w:r>
                  <w:r>
                    <w:rPr>
                      <w:sz w:val="19"/>
                      <w:szCs w:val="19"/>
                    </w:rPr>
                    <w:t>gennaio 2021*. Le principali variazioni hanno riguardato soprattutto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idrogeno, perché ora la composizione del mix di idrogeno alle stazioni di servizio svizzere contiene una maggiore quantità di energia idroelettrica. Sono state introdotte modifiche anche per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elettricità, perché il mix di energia elettrica fornito è stato ricalcolato sulla base dei dati disponibili più attuali. Ora contiene una quota più contenuta di elettricità importata e di vettori energetici non verificabili.</w:t>
                  </w:r>
                </w:p>
                <w:p w14:paraId="0C386623" w14:textId="77777777" w:rsidR="00050F00" w:rsidRDefault="00EC41DB" w:rsidP="00605091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noProof/>
                      <w:lang w:val="de-CH"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 wp14:anchorId="3B80F33B" wp14:editId="5CFFF9C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114935</wp:posOffset>
                        </wp:positionV>
                        <wp:extent cx="1510665" cy="21336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07"/>
                            <wp:lineTo x="21246" y="21407"/>
                            <wp:lineTo x="21246" y="0"/>
                            <wp:lineTo x="0" y="0"/>
                          </wp:wrapPolygon>
                        </wp:wrapTight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0665" cy="213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AB2F33A" w14:textId="3E3483D1" w:rsidR="00C049BD" w:rsidRDefault="00C049BD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Da marzo 2003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etichettaEnergia per le automobili dev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essere apposta in modo ben visibile su ogni nuovo veicolo in vendita. Le indicazioni contenute nell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etichettaEnergia, così come ulteriori informazioni, compaiono inoltre nella pubblicità, sui listini prezzi, nei configuratori online e nel materiale di vendita. </w:t>
                  </w:r>
                </w:p>
                <w:p w14:paraId="6E29DFD8" w14:textId="77777777" w:rsidR="00EC41DB" w:rsidRDefault="00EC41DB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577D5143" w14:textId="47F94D9E" w:rsidR="00EC41DB" w:rsidRPr="00153693" w:rsidRDefault="00EC41DB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 è divisa in tre aree. In alto sono visibili le informazioni relative al veicolo, seguite dai dati sul consumo di carburante/energia e sulle emissioni di CO</w:t>
                  </w:r>
                  <w:r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. Questi valori vengono rilevati direttamente dalle case costruttrici e si riferiscono esclusivamente al consumo durante la guida omologato tramite il ciclo di prova. </w:t>
                  </w:r>
                  <w:r w:rsidR="00C26A00">
                    <w:rPr>
                      <w:sz w:val="19"/>
                      <w:szCs w:val="19"/>
                    </w:rPr>
                    <w:t xml:space="preserve">Con le sue categorie colorate, </w:t>
                  </w:r>
                  <w:r>
                    <w:rPr>
                      <w:sz w:val="19"/>
                      <w:szCs w:val="19"/>
                    </w:rPr>
                    <w:t>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area inferiore rivela,  </w:t>
                  </w:r>
                  <w:r w:rsidR="00C26A00">
                    <w:rPr>
                      <w:sz w:val="19"/>
                      <w:szCs w:val="19"/>
                    </w:rPr>
                    <w:t>l</w:t>
                  </w:r>
                  <w:r w:rsidR="00C26A00">
                    <w:rPr>
                      <w:sz w:val="19"/>
                      <w:szCs w:val="19"/>
                    </w:rPr>
                    <w:br w:type="column"/>
                    <w:t>’efficienza energetica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="00C26A00">
                    <w:rPr>
                      <w:sz w:val="19"/>
                      <w:szCs w:val="19"/>
                    </w:rPr>
                    <w:t>de</w:t>
                  </w:r>
                  <w:r>
                    <w:rPr>
                      <w:sz w:val="19"/>
                      <w:szCs w:val="19"/>
                    </w:rPr>
                    <w:t>l veicolo con il carburante utilizzato. In questo caso, oltre al consumo durante la marcia, viene considerato anche il costo necessario per la messa a disposizione del carburante. «Per produrre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idrogeno è ad esempio necessaria una quantità relativamente alta di energia», conclude Markus Peter. Per tutte le questioni che ruotano intorno all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etichettaEnergia, i garagisti dell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UPSA forniscono volentieri la loro consulenza alle automobiliste e agli automobilisti.</w:t>
                  </w:r>
                </w:p>
                <w:p w14:paraId="7DA3517A" w14:textId="77777777" w:rsidR="00605091" w:rsidRPr="00153693" w:rsidRDefault="00605091" w:rsidP="00605091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7D79A2DD" w14:textId="6F2D3EF4" w:rsidR="00605091" w:rsidRDefault="00C049BD" w:rsidP="00C049BD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*</w:t>
                  </w:r>
                  <w:r w:rsidR="00C26A00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Dal 1</w:t>
                  </w:r>
                  <w:r w:rsidR="00C26A00">
                    <w:rPr>
                      <w:sz w:val="19"/>
                      <w:szCs w:val="19"/>
                    </w:rPr>
                    <w:t xml:space="preserve">º </w:t>
                  </w:r>
                  <w:r>
                    <w:rPr>
                      <w:sz w:val="19"/>
                      <w:szCs w:val="19"/>
                    </w:rPr>
                    <w:t>gennaio 2020, le emissioni medie di CO</w:t>
                  </w:r>
                  <w:r>
                    <w:rPr>
                      <w:sz w:val="14"/>
                      <w:szCs w:val="14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 dell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intera flotta di veicoli leggeri non vengono più visualizzate sull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etichettaEnergia. Questo valore deve però sempre ancora essere indicato sui listini prezzi e nei configuratori online. Per 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anno 2021 il valore ammonta a 169 g/km (WLTP**) o 136 g/km (NEFZ**). Questi valori vengono calcolati sulla base dei veicoli nuovi immatricolati tra il 1</w:t>
                  </w:r>
                  <w:r w:rsidR="00AC099B">
                    <w:rPr>
                      <w:sz w:val="19"/>
                      <w:szCs w:val="19"/>
                    </w:rPr>
                    <w:t xml:space="preserve">º </w:t>
                  </w:r>
                  <w:r>
                    <w:rPr>
                      <w:sz w:val="19"/>
                      <w:szCs w:val="19"/>
                    </w:rPr>
                    <w:t>giugno 2019 e il 31 maggio 2020.</w:t>
                  </w:r>
                </w:p>
                <w:p w14:paraId="3E69E7B4" w14:textId="4EB4FB31" w:rsidR="00EC41DB" w:rsidRDefault="00253276" w:rsidP="00EC41DB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**</w:t>
                  </w:r>
                  <w:r w:rsidR="00AC099B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Metodo di calcolo e NEFZ/WLTP: Dal 1</w:t>
                  </w:r>
                  <w:r w:rsidR="00AC099B">
                    <w:rPr>
                      <w:sz w:val="19"/>
                      <w:szCs w:val="19"/>
                    </w:rPr>
                    <w:t xml:space="preserve">º </w:t>
                  </w:r>
                  <w:r>
                    <w:rPr>
                      <w:sz w:val="19"/>
                      <w:szCs w:val="19"/>
                    </w:rPr>
                    <w:t>gennaio 2020 è cambiato il metodo di calcolo delle categorie di efficienza energetica delle automobili nuove che non tiene più in considerazione il peso a vuoto del veicolo. Contemporaneamente si passerà dall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attuale procedura di prova NEDC (New European Driving Cycle) alla nuova procedura WLTP (Worldwide </w:t>
                  </w:r>
                  <w:proofErr w:type="spellStart"/>
                  <w:r>
                    <w:rPr>
                      <w:sz w:val="19"/>
                      <w:szCs w:val="19"/>
                    </w:rPr>
                    <w:t>Harmonized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Light-Duty </w:t>
                  </w:r>
                  <w:proofErr w:type="spellStart"/>
                  <w:r>
                    <w:rPr>
                      <w:sz w:val="19"/>
                      <w:szCs w:val="19"/>
                    </w:rPr>
                    <w:t>Vehicles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Test </w:t>
                  </w:r>
                  <w:proofErr w:type="spellStart"/>
                  <w:r>
                    <w:rPr>
                      <w:sz w:val="19"/>
                      <w:szCs w:val="19"/>
                    </w:rPr>
                    <w:t>Procedures</w:t>
                  </w:r>
                  <w:proofErr w:type="spellEnd"/>
                  <w:r>
                    <w:rPr>
                      <w:sz w:val="19"/>
                      <w:szCs w:val="19"/>
                    </w:rPr>
                    <w:t>). Pertanto, in futuro, tutti i dati contenuti nelle informazioni per la clientela dovranno basarsi su valori WLTP, se disponibili. Viene fatta un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>eccezione per i veicoli per cui si dispone solo di dati NEDC e per i quali non è possibile calcolare i valori WLTP, come i veicoli in stock.</w:t>
                  </w:r>
                </w:p>
                <w:p w14:paraId="7FEAC21F" w14:textId="77777777" w:rsidR="00887883" w:rsidRDefault="00887883" w:rsidP="00EC41DB">
                  <w:pPr>
                    <w:spacing w:line="240" w:lineRule="auto"/>
                    <w:rPr>
                      <w:sz w:val="19"/>
                      <w:szCs w:val="19"/>
                    </w:rPr>
                  </w:pPr>
                </w:p>
                <w:p w14:paraId="6C262861" w14:textId="10156FC7" w:rsidR="00887883" w:rsidRDefault="00887883" w:rsidP="00EC41DB">
                  <w:pPr>
                    <w:spacing w:line="240" w:lineRule="auto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Fonte dell</w:t>
                  </w:r>
                  <w:r w:rsidR="0034481C">
                    <w:rPr>
                      <w:sz w:val="19"/>
                      <w:szCs w:val="19"/>
                    </w:rPr>
                    <w:t>’</w:t>
                  </w:r>
                  <w:r>
                    <w:rPr>
                      <w:sz w:val="19"/>
                      <w:szCs w:val="19"/>
                    </w:rPr>
                    <w:t xml:space="preserve">immagine: DATEC (etichettaEnergia) </w:t>
                  </w:r>
                </w:p>
                <w:p w14:paraId="0EE7FAAA" w14:textId="77777777" w:rsidR="009A3703" w:rsidRPr="00EC41DB" w:rsidRDefault="009A3703" w:rsidP="00EC41DB">
                  <w:pPr>
                    <w:spacing w:line="240" w:lineRule="auto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Bildlegende Skoda: La Skoda Octavia, il modello più amato in Svizzera, è disponibile anche in una motorizzazione con classe di efficienza energetica A (fonte: Skoda). </w:t>
                  </w:r>
                </w:p>
                <w:p w14:paraId="7488151C" w14:textId="77777777"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14:paraId="239ECCB5" w14:textId="77777777" w:rsidR="00377004" w:rsidRDefault="00377004" w:rsidP="00377004">
                  <w:pPr>
                    <w:pStyle w:val="fuerFragenkursiv"/>
                    <w:spacing w:line="240" w:lineRule="auto"/>
                    <w:ind w:right="-1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Maggiori informazioni</w:t>
                  </w:r>
                  <w:r>
                    <w:rPr>
                      <w:sz w:val="16"/>
                      <w:szCs w:val="16"/>
                    </w:rPr>
                    <w:t xml:space="preserve"> sono disponibili contattando Markus Peter, UPSA Tecnica &amp; Ambiente, telefono 031 307 15 29, e-mail </w:t>
                  </w:r>
                  <w:hyperlink r:id="rId9" w:history="1">
                    <w:r>
                      <w:rPr>
                        <w:rStyle w:val="Hyperlink"/>
                        <w:sz w:val="16"/>
                        <w:szCs w:val="16"/>
                      </w:rPr>
                      <w:t>markus.peter@agvs-upsa.ch</w:t>
                    </w:r>
                  </w:hyperlink>
                  <w:r>
                    <w:rPr>
                      <w:sz w:val="16"/>
                      <w:szCs w:val="16"/>
                    </w:rPr>
                    <w:t>.</w:t>
                  </w:r>
                </w:p>
                <w:p w14:paraId="1E200736" w14:textId="77777777" w:rsidR="00377004" w:rsidRPr="000C1591" w:rsidRDefault="00377004" w:rsidP="00377004">
                  <w:pPr>
                    <w:pStyle w:val="fuerFragenkursiv"/>
                    <w:spacing w:line="240" w:lineRule="auto"/>
                    <w:ind w:right="-1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Coordinamento:</w:t>
                  </w:r>
                  <w:r>
                    <w:rPr>
                      <w:sz w:val="16"/>
                      <w:szCs w:val="16"/>
                    </w:rPr>
                    <w:t xml:space="preserve"> Serina Danz, Comunicazione &amp; Media UPSA, telefono 031 307 15 43, e-mail serina.danz@agvs-upsa.ch.</w:t>
                  </w:r>
                </w:p>
                <w:p w14:paraId="4DC152B8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14:paraId="0C8F4E37" w14:textId="10E20F8E"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/>
                      <w:iCs/>
                      <w:sz w:val="18"/>
                      <w:szCs w:val="18"/>
                    </w:rPr>
                    <w:t>L</w:t>
                  </w:r>
                  <w:r w:rsidR="0034481C">
                    <w:rPr>
                      <w:b/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i/>
                      <w:iCs/>
                      <w:sz w:val="18"/>
                      <w:szCs w:val="18"/>
                    </w:rPr>
                    <w:t>Unione professionale svizzera dell</w:t>
                  </w:r>
                  <w:r w:rsidR="0034481C">
                    <w:rPr>
                      <w:b/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i/>
                      <w:iCs/>
                      <w:sz w:val="18"/>
                      <w:szCs w:val="18"/>
                    </w:rPr>
                    <w:t>automobile (UPSA)</w:t>
                  </w:r>
                </w:p>
                <w:p w14:paraId="70B840A3" w14:textId="20025777"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Fondata nel 1927, l</w:t>
                  </w:r>
                  <w:r w:rsidR="0034481C"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UPSA si pone come associazione di categoria e professionale dei garagisti svizzeri dinamica e orientata al futuro. Circa 4000 piccole, medie e grandi imprese, concessionarie e aziende indipendenti sono iscritte all</w:t>
                  </w:r>
                  <w:r w:rsidR="0034481C"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UPSA. I 39 000 dipendenti che lavorano nelle aziende iscritte all</w:t>
                  </w:r>
                  <w:r w:rsidR="0034481C">
                    <w:rPr>
                      <w:i/>
                      <w:iCs/>
                      <w:sz w:val="18"/>
                      <w:szCs w:val="18"/>
                    </w:rPr>
                    <w:t>’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UPSA – tra cui circa 9000 persone in formazione e formazione continua – si occupano della vendita, della manutenzione e della riparazione della maggior parte</w:t>
                  </w:r>
                  <w:r w:rsidR="00AC099B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del parco circolante svizzero, che conta circa 6 milioni di veicoli.</w:t>
                  </w:r>
                </w:p>
                <w:bookmarkEnd w:id="1"/>
                <w:bookmarkEnd w:id="2"/>
                <w:p w14:paraId="679490F1" w14:textId="77777777"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14:paraId="498964C3" w14:textId="77777777"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14:paraId="36EB664E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>
                    <w:rPr>
                      <w:b/>
                      <w:bCs/>
                      <w:sz w:val="18"/>
                      <w:szCs w:val="22"/>
                    </w:rPr>
                    <w:t xml:space="preserve">Testo e immagini possono essere scaricati sul sito </w:t>
                  </w:r>
                  <w:hyperlink r:id="rId10" w:history="1">
                    <w:r>
                      <w:rPr>
                        <w:b/>
                        <w:bCs/>
                        <w:sz w:val="18"/>
                        <w:szCs w:val="22"/>
                      </w:rPr>
                      <w:t>www.agvs-upsa.ch</w:t>
                    </w:r>
                  </w:hyperlink>
                  <w:r>
                    <w:rPr>
                      <w:b/>
                      <w:bCs/>
                      <w:sz w:val="18"/>
                      <w:szCs w:val="22"/>
                    </w:rPr>
                    <w:t xml:space="preserve"> nella rubrica «Comunicati stampa» (in basso)</w:t>
                  </w:r>
                </w:p>
                <w:p w14:paraId="7FC09387" w14:textId="77777777"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</w:p>
                <w:p w14:paraId="19E8900A" w14:textId="77777777" w:rsidR="00041E78" w:rsidRPr="004F02AC" w:rsidRDefault="00041E78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86EEFE9" w14:textId="77777777"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 w14:paraId="1A5CDDEA" w14:textId="77777777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53BAE77" w14:textId="77777777"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14:paraId="3AB5C943" w14:textId="77777777"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14:paraId="6AF6D52C" w14:textId="77777777" w:rsidR="00A72BF4" w:rsidRPr="00567062" w:rsidRDefault="00A72BF4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77BA2741" w14:textId="77777777" w:rsidR="00041E78" w:rsidRPr="003D2F5A" w:rsidRDefault="00041E78" w:rsidP="00331584">
      <w:pPr>
        <w:spacing w:line="300" w:lineRule="auto"/>
        <w:rPr>
          <w:sz w:val="16"/>
          <w:szCs w:val="16"/>
        </w:rPr>
      </w:pPr>
    </w:p>
    <w:sectPr w:rsidR="00041E78" w:rsidRPr="003D2F5A" w:rsidSect="002F30E8">
      <w:footerReference w:type="default" r:id="rId11"/>
      <w:headerReference w:type="first" r:id="rId12"/>
      <w:footerReference w:type="first" r:id="rId13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D28A" w14:textId="77777777" w:rsidR="008F34EB" w:rsidRDefault="008F34EB">
      <w:r>
        <w:separator/>
      </w:r>
    </w:p>
  </w:endnote>
  <w:endnote w:type="continuationSeparator" w:id="0">
    <w:p w14:paraId="5223CCB0" w14:textId="77777777" w:rsidR="008F34EB" w:rsidRDefault="008F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04"/>
      <w:gridCol w:w="3568"/>
    </w:tblGrid>
    <w:tr w:rsidR="002420CF" w:rsidRPr="002420CF" w14:paraId="03F14802" w14:textId="77777777" w:rsidTr="00595D80">
      <w:trPr>
        <w:trHeight w:val="160"/>
      </w:trPr>
      <w:tc>
        <w:tcPr>
          <w:tcW w:w="6067" w:type="dxa"/>
          <w:vAlign w:val="bottom"/>
        </w:tcPr>
        <w:p w14:paraId="3B702CAC" w14:textId="464A7A9C"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Pagina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7069E3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di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7069E3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14:paraId="596E9FB2" w14:textId="77777777"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14:paraId="5A642E1F" w14:textId="77777777"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8834D" w14:textId="77777777" w:rsidR="009A2448" w:rsidRDefault="00810D20">
    <w:pPr>
      <w:pStyle w:val="Kopfzeile"/>
      <w:tabs>
        <w:tab w:val="clear" w:pos="4536"/>
        <w:tab w:val="clear" w:pos="9072"/>
      </w:tabs>
    </w:pPr>
    <w:r>
      <w:rPr>
        <w:noProof/>
        <w:vanish/>
        <w:lang w:val="de-CH"/>
      </w:rPr>
      <w:drawing>
        <wp:anchor distT="0" distB="0" distL="114300" distR="114300" simplePos="0" relativeHeight="251663360" behindDoc="0" locked="0" layoutInCell="1" allowOverlap="1" wp14:anchorId="38C37225" wp14:editId="3CFEC1DE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7216" behindDoc="0" locked="0" layoutInCell="1" allowOverlap="1" wp14:anchorId="146045FB" wp14:editId="4C6969FA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E081" w14:textId="77777777" w:rsidR="008F34EB" w:rsidRDefault="008F34EB">
      <w:r>
        <w:separator/>
      </w:r>
    </w:p>
  </w:footnote>
  <w:footnote w:type="continuationSeparator" w:id="0">
    <w:p w14:paraId="56884418" w14:textId="77777777" w:rsidR="008F34EB" w:rsidRDefault="008F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D2F10" w14:textId="77777777" w:rsidR="009A2448" w:rsidRDefault="00BE3BF4" w:rsidP="006656A8">
    <w:r>
      <w:rPr>
        <w:noProof/>
        <w:lang w:val="de-CH"/>
      </w:rPr>
      <w:drawing>
        <wp:anchor distT="0" distB="0" distL="114300" distR="114300" simplePos="0" relativeHeight="251654144" behindDoc="0" locked="0" layoutInCell="1" allowOverlap="1" wp14:anchorId="20F2B688" wp14:editId="1A51374E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626EFF"/>
    <w:multiLevelType w:val="hybridMultilevel"/>
    <w:tmpl w:val="0FA6C83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00616"/>
    <w:multiLevelType w:val="hybridMultilevel"/>
    <w:tmpl w:val="F0DE3BD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1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0F00"/>
    <w:rsid w:val="0005205E"/>
    <w:rsid w:val="00062B04"/>
    <w:rsid w:val="00064FE5"/>
    <w:rsid w:val="000733AA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5CFF"/>
    <w:rsid w:val="00157BF3"/>
    <w:rsid w:val="0016437B"/>
    <w:rsid w:val="001661F3"/>
    <w:rsid w:val="00167602"/>
    <w:rsid w:val="00175C26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20CF"/>
    <w:rsid w:val="002455D0"/>
    <w:rsid w:val="00250288"/>
    <w:rsid w:val="00253276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1584"/>
    <w:rsid w:val="00336CB5"/>
    <w:rsid w:val="0034481C"/>
    <w:rsid w:val="00353099"/>
    <w:rsid w:val="0035498C"/>
    <w:rsid w:val="0035505B"/>
    <w:rsid w:val="0035684F"/>
    <w:rsid w:val="0036044B"/>
    <w:rsid w:val="003628FB"/>
    <w:rsid w:val="00372113"/>
    <w:rsid w:val="00374184"/>
    <w:rsid w:val="0037700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C0547"/>
    <w:rsid w:val="003D01FC"/>
    <w:rsid w:val="003D0427"/>
    <w:rsid w:val="003D2F5A"/>
    <w:rsid w:val="003E4217"/>
    <w:rsid w:val="003F1583"/>
    <w:rsid w:val="00422A5E"/>
    <w:rsid w:val="00423B09"/>
    <w:rsid w:val="00425E25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6B4D"/>
    <w:rsid w:val="005D705A"/>
    <w:rsid w:val="005D7D53"/>
    <w:rsid w:val="005E69F0"/>
    <w:rsid w:val="00605091"/>
    <w:rsid w:val="0061086E"/>
    <w:rsid w:val="00620B55"/>
    <w:rsid w:val="006271D5"/>
    <w:rsid w:val="0064184E"/>
    <w:rsid w:val="00644B42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C06A8"/>
    <w:rsid w:val="006C2743"/>
    <w:rsid w:val="006C3C41"/>
    <w:rsid w:val="006D0C05"/>
    <w:rsid w:val="006D2D1C"/>
    <w:rsid w:val="006D44B4"/>
    <w:rsid w:val="006E4FFB"/>
    <w:rsid w:val="006F3599"/>
    <w:rsid w:val="006F5208"/>
    <w:rsid w:val="007044FB"/>
    <w:rsid w:val="007069E3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B5F28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7632"/>
    <w:rsid w:val="00810D20"/>
    <w:rsid w:val="00821E75"/>
    <w:rsid w:val="00824BE3"/>
    <w:rsid w:val="00831166"/>
    <w:rsid w:val="0083162C"/>
    <w:rsid w:val="00834997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87883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8F34EB"/>
    <w:rsid w:val="00900020"/>
    <w:rsid w:val="00903B96"/>
    <w:rsid w:val="00907747"/>
    <w:rsid w:val="00911E4C"/>
    <w:rsid w:val="00917349"/>
    <w:rsid w:val="00927636"/>
    <w:rsid w:val="00930A14"/>
    <w:rsid w:val="00934137"/>
    <w:rsid w:val="00942C16"/>
    <w:rsid w:val="0095532A"/>
    <w:rsid w:val="0096146C"/>
    <w:rsid w:val="009636C1"/>
    <w:rsid w:val="00963FFE"/>
    <w:rsid w:val="0097771F"/>
    <w:rsid w:val="00981697"/>
    <w:rsid w:val="00981A32"/>
    <w:rsid w:val="00986831"/>
    <w:rsid w:val="00991C64"/>
    <w:rsid w:val="009A2448"/>
    <w:rsid w:val="009A3703"/>
    <w:rsid w:val="009A67FB"/>
    <w:rsid w:val="009B0B47"/>
    <w:rsid w:val="009C73CD"/>
    <w:rsid w:val="009C7528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64DB0"/>
    <w:rsid w:val="00A72BF4"/>
    <w:rsid w:val="00A777E9"/>
    <w:rsid w:val="00A97DEC"/>
    <w:rsid w:val="00A97DF5"/>
    <w:rsid w:val="00AA2FC4"/>
    <w:rsid w:val="00AB4FCE"/>
    <w:rsid w:val="00AC099B"/>
    <w:rsid w:val="00AC52FA"/>
    <w:rsid w:val="00AD32F7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49BD"/>
    <w:rsid w:val="00C05CCD"/>
    <w:rsid w:val="00C05F58"/>
    <w:rsid w:val="00C13B6F"/>
    <w:rsid w:val="00C226D9"/>
    <w:rsid w:val="00C261B8"/>
    <w:rsid w:val="00C26A00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C271E"/>
    <w:rsid w:val="00CC45F1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206C"/>
    <w:rsid w:val="00DC3CF6"/>
    <w:rsid w:val="00DD4D53"/>
    <w:rsid w:val="00DD7771"/>
    <w:rsid w:val="00DE4121"/>
    <w:rsid w:val="00DE559E"/>
    <w:rsid w:val="00DE5B85"/>
    <w:rsid w:val="00DF7CBD"/>
    <w:rsid w:val="00E136C0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C41DB"/>
    <w:rsid w:val="00ED4A33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;"/>
  <w14:docId w14:val="1C4AE96E"/>
  <w15:docId w15:val="{49656C05-2969-4176-A6B7-2A5BDAEE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049BD"/>
    <w:pPr>
      <w:ind w:left="720"/>
      <w:contextualSpacing/>
    </w:pPr>
  </w:style>
  <w:style w:type="paragraph" w:styleId="berarbeitung">
    <w:name w:val="Revision"/>
    <w:hidden/>
    <w:uiPriority w:val="99"/>
    <w:semiHidden/>
    <w:rsid w:val="00ED4A3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vs-ups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peter@agvs-upsa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A5149-CBEA-4A6A-9912-C5F864C4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</Template>
  <TotalTime>0</TotalTime>
  <Pages>2</Pages>
  <Words>921</Words>
  <Characters>5693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MM_AGVS</vt:lpstr>
      <vt:lpstr>MM_AGVS</vt:lpstr>
    </vt:vector>
  </TitlesOfParts>
  <Company>Hewlett-Packard Company</Company>
  <LinksUpToDate>false</LinksUpToDate>
  <CharactersWithSpaces>6601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Mike Gadient</dc:creator>
  <cp:lastModifiedBy>Serina Danz</cp:lastModifiedBy>
  <cp:revision>6</cp:revision>
  <cp:lastPrinted>2017-11-27T14:01:00Z</cp:lastPrinted>
  <dcterms:created xsi:type="dcterms:W3CDTF">2021-01-25T15:32:00Z</dcterms:created>
  <dcterms:modified xsi:type="dcterms:W3CDTF">2021-02-08T10:14:00Z</dcterms:modified>
</cp:coreProperties>
</file>